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Datos del solicitante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Nombre y apellidos: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Entidad que representa: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Dirección postal: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Responsable de la actividad: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Teléfonos de contacto: Fijo:</w:t>
        <w:tab/>
        <w:tab/>
        <w:tab/>
        <w:tab/>
        <w:t>Móvil:</w:t>
        <w:tab/>
        <w:tab/>
        <w:tab/>
        <w:tab/>
        <w:t>Fax: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 xml:space="preserve">Correo electrónico: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Espacio solicitado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Denominación del espacio: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Ubicación: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Edificio: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Centro/Departamento/Servicio: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Uso para el que solicita/Descripción de la actividad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Período previsto para la ocupación del espacio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DE:</w:t>
        <w:tab/>
        <w:tab/>
        <w:tab/>
        <w:tab/>
        <w:tab/>
        <w:tab/>
        <w:t>A: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 xml:space="preserve">PRÓRROGA: (Indicar SI o NO, según la previsión, </w:t>
      </w:r>
      <w:r>
        <w:rPr/>
        <w:t>en su caso</w:t>
      </w:r>
      <w:r>
        <w:rPr/>
        <w:t>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Especificar las c</w:t>
      </w:r>
      <w:r>
        <w:rPr>
          <w:b/>
          <w:bCs/>
        </w:rPr>
        <w:t>ondiciones a las que se ajust</w:t>
      </w:r>
      <w:r>
        <w:rPr>
          <w:b/>
          <w:bCs/>
        </w:rPr>
        <w:t xml:space="preserve">a la solicitud de </w:t>
      </w:r>
      <w:r>
        <w:rPr>
          <w:b/>
          <w:bCs/>
        </w:rPr>
        <w:t xml:space="preserve">autorización, </w:t>
      </w:r>
      <w:r>
        <w:rPr>
          <w:b/>
          <w:bCs/>
        </w:rPr>
        <w:t>en cuanto a: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a) El régimen de uso del bien o derecho.</w:t>
      </w:r>
      <w:r>
        <w:rPr>
          <w:rStyle w:val="Ancladenotaalpie"/>
        </w:rPr>
        <w:footnoteReference w:id="2"/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>PRIVATIVO/ESPECIAL (Indicar lo que proceda):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b) El régimen económico a que queda sujeta la autorización.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>GRATUITO/C</w:t>
      </w:r>
      <w:r>
        <w:rPr>
          <w:rFonts w:ascii="Caladea" w:hAnsi="Caladea"/>
          <w:i/>
          <w:iCs/>
          <w:sz w:val="20"/>
          <w:szCs w:val="20"/>
        </w:rPr>
        <w:t>ANON</w:t>
      </w:r>
      <w:r>
        <w:rPr>
          <w:rFonts w:ascii="Caladea" w:hAnsi="Caladea"/>
          <w:i/>
          <w:iCs/>
          <w:sz w:val="20"/>
          <w:szCs w:val="20"/>
        </w:rPr>
        <w:t>:</w:t>
        <w:tab/>
        <w:tab/>
        <w:tab/>
        <w:tab/>
        <w:tab/>
        <w:tab/>
        <w:t>IMPORTE: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c) La garantía a prestar, en su caso.</w:t>
        <w:tab/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>GARANTÍA (SI/NO):</w:t>
        <w:tab/>
        <w:tab/>
        <w:tab/>
        <w:tab/>
        <w:tab/>
        <w:tab/>
        <w:t>IMPORTE: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d) La asunción de los gastos de conservación y mantenimiento, impuestos, tasas y demás tributos, así como el compromiso de utilizar el bien según su naturaleza y de entregarlo en el estado en que se recibe.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 xml:space="preserve">SE ASUME COMPROMISO (SI/NO): 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e) El compromiso de previa obtención a su costa de cuantas licencias y permisos requiera el uso del bien o la actividad a realizar sobre el mismo.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 xml:space="preserve">SE ASUME COMPROMISO (SI/NO): 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f) La asunción de la responsabilidad derivada de la ocupación, con mención, en su caso, de la obligatoriedad de formalizar la oportuna póliza de seguro, aval bancario, u otra garantía suficiente.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 xml:space="preserve">SE ASUME COMPROMISO (SI/NO): 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g) La aceptación de la revocación unilateral, sin derecho a indemnizaciones, por razones de interés público en los supuestos previstos en el apartado 4 de</w:t>
      </w:r>
      <w:r>
        <w:rPr/>
        <w:t>l artículo 92 de la Ley 33/2003 de 3 noviembre, del Patrimonio de las Administraciones Públicas.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 xml:space="preserve">SE ASUME COMPROMISO (SI/NO): 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 xml:space="preserve">h) La reserva por parte de </w:t>
      </w:r>
      <w:r>
        <w:rPr/>
        <w:t xml:space="preserve">la Universidad </w:t>
      </w:r>
      <w:r>
        <w:rPr/>
        <w:t>cedente de la facultad de inspeccionar el bien objeto de autorización, para garantizar que el mismo es usado de acuerdo con los términos de la autorización.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 xml:space="preserve">SE ASUME COMPROMISO (SI/NO): 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i) El plazo y régimen de prórroga y subrogación que, en todo caso, requerirá la previa autorización.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adea" w:hAnsi="Caladea"/>
          <w:i/>
          <w:i/>
          <w:iCs/>
          <w:sz w:val="20"/>
          <w:szCs w:val="20"/>
        </w:rPr>
      </w:pPr>
      <w:r>
        <w:rPr>
          <w:rFonts w:ascii="Caladea" w:hAnsi="Caladea"/>
          <w:i/>
          <w:iCs/>
          <w:sz w:val="20"/>
          <w:szCs w:val="20"/>
        </w:rPr>
        <w:t>PRÓRROGA</w:t>
      </w:r>
      <w:r>
        <w:rPr>
          <w:rFonts w:ascii="Caladea" w:hAnsi="Caladea"/>
          <w:i/>
          <w:iCs/>
          <w:sz w:val="20"/>
          <w:szCs w:val="20"/>
        </w:rPr>
        <w:t xml:space="preserve"> (SI/NO): </w:t>
        <w:tab/>
        <w:tab/>
        <w:tab/>
        <w:tab/>
      </w:r>
      <w:r>
        <w:rPr>
          <w:rFonts w:ascii="Caladea" w:hAnsi="Caladea"/>
          <w:i/>
          <w:iCs/>
          <w:sz w:val="20"/>
          <w:szCs w:val="20"/>
        </w:rPr>
        <w:t>SUBROGACIÓN (SI/NO):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 xml:space="preserve">j) </w:t>
      </w:r>
      <w:r>
        <w:rPr/>
        <w:t>Asunción de l</w:t>
      </w:r>
      <w:r>
        <w:rPr/>
        <w:t xml:space="preserve">as causas de extinción </w:t>
      </w:r>
      <w:r>
        <w:rPr/>
        <w:t>establecidas en la legislación vigente.</w:t>
      </w:r>
    </w:p>
    <w:p>
      <w:pPr>
        <w:pStyle w:val="Cuerpode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Córdoba, ___ de ____________ de 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EL SOLICITANTE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Fdo.: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</w:t>
      </w:r>
      <w:r>
        <w:rPr>
          <w:b/>
          <w:bCs/>
        </w:rPr>
        <w:t>ERVICIO DE CONTRATACIÓN Y PATRIMONIO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345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adea">
    <w:altName w:val="Cambria"/>
    <w:charset w:val="01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Cuerpodetexto"/>
        <w:jc w:val="both"/>
        <w:rPr>
          <w:sz w:val="14"/>
          <w:szCs w:val="14"/>
        </w:rPr>
      </w:pPr>
      <w:r>
        <w:rPr>
          <w:sz w:val="14"/>
          <w:szCs w:val="14"/>
        </w:rPr>
        <w:footnoteRef/>
        <w:tab/>
        <w:t xml:space="preserve"> </w:t>
      </w:r>
      <w:r>
        <w:rPr>
          <w:sz w:val="14"/>
          <w:szCs w:val="14"/>
        </w:rPr>
        <w:t xml:space="preserve">Es uso que implica un aprovechamiento </w:t>
      </w:r>
      <w:r>
        <w:rPr>
          <w:b/>
          <w:bCs/>
          <w:sz w:val="14"/>
          <w:szCs w:val="14"/>
          <w:u w:val="single"/>
        </w:rPr>
        <w:t xml:space="preserve">especial </w:t>
      </w:r>
      <w:r>
        <w:rPr>
          <w:sz w:val="14"/>
          <w:szCs w:val="14"/>
        </w:rPr>
        <w:t>del dominio público el que, sin impedir el uso común, supone la concurrencia de circunstancias tales como la peligrosidad o intensidad del mismo, preferencia en casos de escasez, la obtención de una rentabilidad singular u otras semejantes, que determinan un exceso de utilización sobre el uso que corresponde a todos o un menoscabo de éste.</w:t>
      </w:r>
    </w:p>
    <w:p>
      <w:pPr>
        <w:pStyle w:val="Cuerpodetexto"/>
        <w:jc w:val="both"/>
        <w:rPr>
          <w:sz w:val="14"/>
          <w:szCs w:val="14"/>
        </w:rPr>
      </w:pPr>
      <w:r>
        <w:rPr>
          <w:sz w:val="14"/>
          <w:szCs w:val="14"/>
        </w:rPr>
        <w:tab/>
        <w:t xml:space="preserve">Es uso </w:t>
      </w:r>
      <w:r>
        <w:rPr>
          <w:b/>
          <w:bCs/>
          <w:sz w:val="14"/>
          <w:szCs w:val="14"/>
          <w:u w:val="single"/>
        </w:rPr>
        <w:t>privativo</w:t>
      </w:r>
      <w:r>
        <w:rPr>
          <w:sz w:val="14"/>
          <w:szCs w:val="14"/>
        </w:rPr>
        <w:t xml:space="preserve"> el que determina la ocupación de una porción del dominio público, de modo que se limita o excluye la utilización del mismo por otros interesados.</w:t>
      </w:r>
    </w:p>
    <w:p>
      <w:pPr>
        <w:pStyle w:val="Notaalpie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inline distT="0" distB="0" distL="0" distR="0">
          <wp:extent cx="1418590" cy="743585"/>
          <wp:effectExtent l="0" t="0" r="0" b="0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1417955</wp:posOffset>
              </wp:positionH>
              <wp:positionV relativeFrom="paragraph">
                <wp:posOffset>5080</wp:posOffset>
              </wp:positionV>
              <wp:extent cx="5148580" cy="7385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8000" cy="738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ccccc"/>
                        </a:solidFill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/>
                          </w:pPr>
                          <w:r>
                            <w:rPr>
                              <w:sz w:val="28"/>
                              <w:b/>
                              <w:u w:val="single"/>
                              <w:szCs w:val="28"/>
                              <w:bCs/>
                              <w:rFonts w:ascii="Arial" w:hAnsi="Arial"/>
                            </w:rPr>
                            <w:t>SOLICITUD AUTORIZACIÓN OCUPACIÓN ESPACIOS EN LA UNIVERSIDAD DE CÓRDOBA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t" style="position:absolute;margin-left:111.65pt;margin-top:0.4pt;width:405.3pt;height:58.05pt" type="shapetype_202">
              <v:textbox>
                <w:txbxContent>
                  <w:p>
                    <w:pPr>
                      <w:jc w:val="center"/>
                      <w:rPr/>
                    </w:pPr>
                    <w:r>
                      <w:rPr>
                        <w:sz w:val="28"/>
                        <w:b/>
                        <w:u w:val="single"/>
                        <w:szCs w:val="28"/>
                        <w:bCs/>
                        <w:rFonts w:ascii="Arial" w:hAnsi="Arial"/>
                      </w:rPr>
                      <w:t>SOLICITUD AUTORIZACIÓN OCUPACIÓN ESPACIOS EN LA UNIVERSIDAD DE CÓRDOBA</w:t>
                    </w:r>
                  </w:p>
                </w:txbxContent>
              </v:textbox>
              <w10:wrap type="square"/>
              <v:fill on="false" o:detectmouseclick="t"/>
              <v:stroke color="#cccccc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Encabezado4">
    <w:name w:val="Encabezado 4"/>
    <w:basedOn w:val="Encabezado"/>
    <w:next w:val="Cuerpodetexto"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  <w:style w:type="paragraph" w:styleId="Notaalpie">
    <w:name w:val="Nota al pi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Application>LibreOffice/4.4.4.3$Linux_x86 LibreOffice_project/2c39ebcf046445232b798108aa8a7e7d89552ea8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2016-04-19T09:31:44Z</dcterms:created>
  <dc:creator>Diego Morente</dc:creator>
  <dc:language>es-ES</dc:language>
  <cp:lastModifiedBy>Diego Morente</cp:lastModifiedBy>
  <cp:lastPrinted>2016-05-18T10:32:30Z</cp:lastPrinted>
  <dcterms:modified xsi:type="dcterms:W3CDTF">2016-05-18T11:22:47Z</dcterms:modified>
  <cp:revision>19</cp:revision>
</cp:coreProperties>
</file>